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04" w:rsidRPr="00AA5E53" w:rsidRDefault="004E184A" w:rsidP="00AA5E53">
      <w:pPr>
        <w:jc w:val="center"/>
        <w:rPr>
          <w:b/>
          <w:sz w:val="28"/>
          <w:szCs w:val="28"/>
        </w:rPr>
      </w:pPr>
      <w:r w:rsidRPr="00AA5E53">
        <w:rPr>
          <w:b/>
          <w:sz w:val="28"/>
          <w:szCs w:val="28"/>
        </w:rPr>
        <w:fldChar w:fldCharType="begin"/>
      </w:r>
      <w:r w:rsidRPr="00AA5E53">
        <w:rPr>
          <w:b/>
          <w:sz w:val="28"/>
          <w:szCs w:val="28"/>
        </w:rPr>
        <w:instrText xml:space="preserve"> MACROBUTTON MTEditEquationSection2 </w:instrText>
      </w:r>
      <w:r w:rsidRPr="00AA5E53">
        <w:rPr>
          <w:rStyle w:val="MTEquationSection"/>
          <w:b w:val="0"/>
        </w:rPr>
        <w:instrText>Equation Chapter 1 Section 1</w:instrText>
      </w:r>
      <w:r w:rsidRPr="00AA5E53">
        <w:rPr>
          <w:b/>
          <w:sz w:val="28"/>
          <w:szCs w:val="28"/>
        </w:rPr>
        <w:fldChar w:fldCharType="begin"/>
      </w:r>
      <w:r w:rsidRPr="00AA5E53">
        <w:rPr>
          <w:b/>
          <w:sz w:val="28"/>
          <w:szCs w:val="28"/>
        </w:rPr>
        <w:instrText xml:space="preserve"> SEQ MTEqn \r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MTSec \r 1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MTChap \r 1 \h \* MERGEFORMAT </w:instrText>
      </w:r>
      <w:r w:rsidRPr="00AA5E53">
        <w:rPr>
          <w:b/>
          <w:sz w:val="28"/>
          <w:szCs w:val="28"/>
        </w:rPr>
        <w:fldChar w:fldCharType="end"/>
      </w:r>
      <w:r w:rsidRPr="00AA5E53">
        <w:rPr>
          <w:b/>
          <w:sz w:val="28"/>
          <w:szCs w:val="28"/>
        </w:rPr>
        <w:fldChar w:fldCharType="end"/>
      </w:r>
      <w:r w:rsidR="008A02F0" w:rsidRPr="00AA5E53">
        <w:rPr>
          <w:b/>
          <w:sz w:val="28"/>
          <w:szCs w:val="28"/>
        </w:rPr>
        <w:t xml:space="preserve">Title of the Paper: </w:t>
      </w:r>
      <w:r w:rsidR="00F62FCB" w:rsidRPr="00AA5E53">
        <w:rPr>
          <w:b/>
          <w:sz w:val="28"/>
          <w:szCs w:val="28"/>
        </w:rPr>
        <w:t>Every Word Must Begin with a Capital Letter</w:t>
      </w:r>
    </w:p>
    <w:p w:rsidR="00F62FCB" w:rsidRPr="00AA5E53" w:rsidRDefault="00F62FCB" w:rsidP="003270DB">
      <w:pPr>
        <w:rPr>
          <w:sz w:val="28"/>
        </w:rPr>
      </w:pPr>
    </w:p>
    <w:p w:rsidR="00F62FCB" w:rsidRPr="00AA5E53" w:rsidRDefault="00F62FCB" w:rsidP="00AA5E53">
      <w:pPr>
        <w:jc w:val="center"/>
        <w:rPr>
          <w:b/>
          <w:sz w:val="24"/>
        </w:rPr>
      </w:pPr>
      <w:r w:rsidRPr="00AA5E53">
        <w:rPr>
          <w:b/>
          <w:sz w:val="24"/>
        </w:rPr>
        <w:t>Name Surname</w:t>
      </w:r>
      <w:r w:rsidRPr="00AA5E53">
        <w:rPr>
          <w:b/>
          <w:sz w:val="24"/>
          <w:vertAlign w:val="superscript"/>
        </w:rPr>
        <w:t>1</w:t>
      </w:r>
      <w:r w:rsidRPr="00AA5E53">
        <w:rPr>
          <w:b/>
          <w:sz w:val="24"/>
        </w:rPr>
        <w:t>, Name Surname</w:t>
      </w:r>
      <w:r w:rsidRPr="00AA5E53">
        <w:rPr>
          <w:b/>
          <w:sz w:val="24"/>
          <w:vertAlign w:val="superscript"/>
        </w:rPr>
        <w:t>2</w:t>
      </w:r>
      <w:r w:rsidRPr="00AA5E53">
        <w:rPr>
          <w:b/>
          <w:sz w:val="24"/>
        </w:rPr>
        <w:t>, Name Surname</w:t>
      </w:r>
      <w:r w:rsidRPr="00AA5E53">
        <w:rPr>
          <w:b/>
          <w:sz w:val="24"/>
          <w:vertAlign w:val="superscript"/>
        </w:rPr>
        <w:t>3</w:t>
      </w:r>
    </w:p>
    <w:p w:rsidR="00F62FCB" w:rsidRPr="00AA5E53" w:rsidRDefault="00F62FCB" w:rsidP="003270DB">
      <w:pPr>
        <w:rPr>
          <w:sz w:val="24"/>
        </w:rPr>
      </w:pPr>
    </w:p>
    <w:p w:rsidR="00B353D6" w:rsidRPr="00B353D6" w:rsidRDefault="00B353D6" w:rsidP="00AA5E53">
      <w:pPr>
        <w:jc w:val="center"/>
      </w:pPr>
      <w:r w:rsidRPr="000762D5">
        <w:rPr>
          <w:vertAlign w:val="superscript"/>
        </w:rPr>
        <w:t>1</w:t>
      </w:r>
      <w:r w:rsidRPr="00B353D6">
        <w:t>Department, University, City, Country</w:t>
      </w:r>
    </w:p>
    <w:p w:rsidR="00B353D6" w:rsidRPr="00B353D6" w:rsidRDefault="00B353D6" w:rsidP="00AA5E53">
      <w:pPr>
        <w:jc w:val="center"/>
      </w:pPr>
      <w:r w:rsidRPr="000762D5">
        <w:rPr>
          <w:vertAlign w:val="superscript"/>
        </w:rPr>
        <w:t>2</w:t>
      </w:r>
      <w:r w:rsidRPr="00B353D6">
        <w:t>Department, University, City, Country</w:t>
      </w:r>
    </w:p>
    <w:p w:rsidR="00B353D6" w:rsidRPr="00B353D6" w:rsidRDefault="00B353D6" w:rsidP="00AA5E53">
      <w:pPr>
        <w:jc w:val="center"/>
      </w:pPr>
      <w:r w:rsidRPr="000762D5">
        <w:rPr>
          <w:vertAlign w:val="superscript"/>
        </w:rPr>
        <w:t>3</w:t>
      </w:r>
      <w:r w:rsidRPr="00B353D6">
        <w:t>Department, University, City, Country</w:t>
      </w:r>
    </w:p>
    <w:p w:rsidR="00B353D6" w:rsidRDefault="00E06699" w:rsidP="00AA5E53">
      <w:pPr>
        <w:jc w:val="center"/>
      </w:pPr>
      <w:r w:rsidRPr="00E06699">
        <w:t xml:space="preserve">Corresponding </w:t>
      </w:r>
      <w:r w:rsidR="0000454F" w:rsidRPr="00E06699">
        <w:t>author</w:t>
      </w:r>
      <w:r>
        <w:t xml:space="preserve">: </w:t>
      </w:r>
      <w:r w:rsidR="00E125D1">
        <w:t>Name Surname</w:t>
      </w:r>
      <w:r w:rsidR="00E125D1" w:rsidRPr="00E125D1">
        <w:t xml:space="preserve"> (e-mail: </w:t>
      </w:r>
      <w:r w:rsidR="0086517A">
        <w:t>mail</w:t>
      </w:r>
      <w:r w:rsidR="00E125D1" w:rsidRPr="00E125D1">
        <w:t>@</w:t>
      </w:r>
      <w:r w:rsidR="0086517A">
        <w:t>gmail</w:t>
      </w:r>
      <w:r w:rsidR="00E125D1" w:rsidRPr="00E125D1">
        <w:t>.</w:t>
      </w:r>
      <w:r w:rsidR="0086517A">
        <w:t>com)</w:t>
      </w:r>
    </w:p>
    <w:p w:rsidR="005635C4" w:rsidRDefault="005635C4" w:rsidP="0086517A"/>
    <w:p w:rsidR="005635C4" w:rsidRPr="00AA5E53" w:rsidRDefault="005635C4" w:rsidP="003270DB">
      <w:pPr>
        <w:rPr>
          <w:b/>
        </w:rPr>
      </w:pPr>
      <w:r w:rsidRPr="00AA5E53">
        <w:rPr>
          <w:b/>
        </w:rPr>
        <w:t>Abstract</w:t>
      </w:r>
    </w:p>
    <w:p w:rsidR="005635C4" w:rsidRDefault="005635C4" w:rsidP="00AA5E53">
      <w:pPr>
        <w:spacing w:before="120" w:after="120"/>
      </w:pPr>
      <w:r w:rsidRPr="005635C4">
        <w:t>This template is designed to guide authors in preparing their papers by direct editing. The template must be prepared in Microsoft Word format and its version, footer and header information must not be changed in any way. Abstract section is limited to a maximum of 300 words. Additionally, the abstract should be a single paragraph.</w:t>
      </w:r>
    </w:p>
    <w:p w:rsidR="005635C4" w:rsidRDefault="005635C4" w:rsidP="003270DB">
      <w:r w:rsidRPr="003F5212">
        <w:rPr>
          <w:b/>
        </w:rPr>
        <w:t>Keywords:</w:t>
      </w:r>
      <w:r w:rsidRPr="005635C4">
        <w:t xml:space="preserve"> Include a maximum of 5 keywords. Keyword-1, Keyword keyword-2</w:t>
      </w:r>
    </w:p>
    <w:p w:rsidR="006F0FB7" w:rsidRDefault="006F0FB7" w:rsidP="003270DB"/>
    <w:p w:rsidR="00AA5E53" w:rsidRDefault="00AA5E53" w:rsidP="003270DB"/>
    <w:p w:rsidR="006F0FB7" w:rsidRPr="00096233" w:rsidRDefault="00AA5E53" w:rsidP="00AA5E53">
      <w:pPr>
        <w:pStyle w:val="Balk1"/>
      </w:pPr>
      <w:r>
        <w:t xml:space="preserve">1. </w:t>
      </w:r>
      <w:r w:rsidR="006F0FB7" w:rsidRPr="00096233">
        <w:t xml:space="preserve">INTRODUCTION </w:t>
      </w:r>
    </w:p>
    <w:p w:rsidR="006F0FB7" w:rsidRDefault="006F0FB7" w:rsidP="003270DB"/>
    <w:p w:rsidR="006F0FB7" w:rsidRDefault="006F0FB7" w:rsidP="003270DB">
      <w:r w:rsidRPr="006F0FB7">
        <w:t>The paper size must be customized to A4 size paper. The paper must be written in English. The page setup must be adjusted such that all margins are 2.5 cm. The body text should be aligned to “justified” style and line spacing must be single. Font type Times New Roman, size 10 pt. should be used throughout the whole text (except section headings).  Page numbering will be issued at the final publishing stage. Therefore, paper should not contain any page number. There is a minimum limit of page length with 3 pages. Papers with less than 3 pages will be directly rejected, and there is no restriction for upper limit (including figures, tables and references). The deadline for uploading the full-length paper can be seen at the conference website. The organizers do not commit themselves to include in the proceedings any paper received later than this deadline. At least one of the authors must register and pay his/her registration fee before the deadline for their paper to be included in the final program of the conference. Authors must upload the Microsoft Word file with a correct format through the conference website.</w:t>
      </w:r>
    </w:p>
    <w:p w:rsidR="00C46ACA" w:rsidRDefault="00C46ACA" w:rsidP="003270DB"/>
    <w:p w:rsidR="00C46ACA" w:rsidRDefault="00C46ACA" w:rsidP="003270DB">
      <w:r w:rsidRPr="00C46ACA">
        <w:t>Papers must be written in English. The official language of the conference is English, but domestic papers can be presented in Turkish. While preparing the papers, conference template files should be used and these files should not be changed formally.</w:t>
      </w:r>
    </w:p>
    <w:p w:rsidR="00C46ACA" w:rsidRDefault="00C46ACA" w:rsidP="003270DB"/>
    <w:p w:rsidR="003B68EA" w:rsidRPr="007B7E92" w:rsidRDefault="00C46ACA" w:rsidP="003270DB">
      <w:pPr>
        <w:rPr>
          <w:b/>
        </w:rPr>
      </w:pPr>
      <w:r w:rsidRPr="007B7E92">
        <w:rPr>
          <w:b/>
        </w:rPr>
        <w:t>1.1. Citing in the Text</w:t>
      </w:r>
    </w:p>
    <w:p w:rsidR="00C46ACA" w:rsidRDefault="00C46ACA" w:rsidP="003270DB"/>
    <w:p w:rsidR="003B68EA" w:rsidRDefault="003B68EA" w:rsidP="003270DB">
      <w:r w:rsidRPr="003B68EA">
        <w:t>Here are some examples of this kind of referencing:</w:t>
      </w:r>
      <w:r>
        <w:t xml:space="preserve"> </w:t>
      </w:r>
      <w:r w:rsidRPr="003B68EA">
        <w:t>……………………………………………………………...</w:t>
      </w:r>
      <w:r>
        <w:t xml:space="preserve"> </w:t>
      </w:r>
      <w:r w:rsidRPr="003B68EA">
        <w:t>end of the line for my research [1]. Several recent studies [2, 3] have suggested</w:t>
      </w:r>
      <w:r>
        <w:t xml:space="preserve"> </w:t>
      </w:r>
      <w:r w:rsidRPr="003B68EA">
        <w:t>that</w:t>
      </w:r>
      <w:r>
        <w:t xml:space="preserve"> </w:t>
      </w:r>
      <w:r w:rsidRPr="003B68EA">
        <w:t>.............................................. Previous studies have reported ............................... [4–8].</w:t>
      </w:r>
    </w:p>
    <w:p w:rsidR="003B68EA" w:rsidRDefault="003B68EA" w:rsidP="003270DB"/>
    <w:p w:rsidR="004B31ED" w:rsidRPr="003270DB" w:rsidRDefault="004B31ED" w:rsidP="003270DB">
      <w:pPr>
        <w:pStyle w:val="Balk1"/>
      </w:pPr>
      <w:r w:rsidRPr="003270DB">
        <w:t>2. MATERIAL AND METHOD</w:t>
      </w:r>
    </w:p>
    <w:p w:rsidR="004B31ED" w:rsidRPr="004B31ED" w:rsidRDefault="004B31ED" w:rsidP="003270DB"/>
    <w:p w:rsidR="004B31ED" w:rsidRDefault="004B31ED" w:rsidP="003270DB">
      <w:r w:rsidRPr="004B31ED">
        <w:t xml:space="preserve">Section headings must be 12 pt. Any indent shouldn’t be located in papers. There should be one blank line between paragraphs. There should be one blank line before and after an equation and numbered using numbers in parentheses. </w:t>
      </w:r>
      <w:r w:rsidR="00A41C38" w:rsidRPr="00A41C38">
        <w:t>The equ</w:t>
      </w:r>
      <w:r w:rsidR="00A41C38">
        <w:t>ations should be in the middle</w:t>
      </w:r>
      <w:bookmarkStart w:id="0" w:name="_GoBack"/>
      <w:bookmarkEnd w:id="0"/>
      <w:r w:rsidRPr="004B31ED">
        <w:t>. Before and after any heading, there should be one blank line. Additionally, a professional equation editor (such as MathType) should be used when writing equations.</w:t>
      </w:r>
    </w:p>
    <w:p w:rsidR="004B31ED" w:rsidRDefault="004B31ED" w:rsidP="003270DB"/>
    <w:p w:rsidR="004B31ED" w:rsidRDefault="004E184A" w:rsidP="003270DB">
      <w:pPr>
        <w:pStyle w:val="MTDisplayEquation"/>
      </w:pPr>
      <w:r>
        <w:tab/>
      </w:r>
      <w:r w:rsidRPr="004E184A">
        <w:rPr>
          <w:position w:val="-6"/>
        </w:rPr>
        <w:object w:dxaOrig="7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2pt" o:ole="">
            <v:imagedata r:id="rId7" o:title=""/>
          </v:shape>
          <o:OLEObject Type="Embed" ProgID="Equation.DSMT4" ShapeID="_x0000_i1025" DrawAspect="Content" ObjectID="_1795177419" r:id="rId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E7865">
        <w:fldChar w:fldCharType="begin"/>
      </w:r>
      <w:r w:rsidR="006E7865">
        <w:instrText xml:space="preserve"> SEQ MTEqn \c \* Arabic \* MERGEFORMAT </w:instrText>
      </w:r>
      <w:r w:rsidR="006E7865">
        <w:fldChar w:fldCharType="separate"/>
      </w:r>
      <w:r>
        <w:rPr>
          <w:noProof/>
        </w:rPr>
        <w:instrText>1</w:instrText>
      </w:r>
      <w:r w:rsidR="006E7865">
        <w:rPr>
          <w:noProof/>
        </w:rPr>
        <w:fldChar w:fldCharType="end"/>
      </w:r>
      <w:r>
        <w:instrText>)</w:instrText>
      </w:r>
      <w:r>
        <w:fldChar w:fldCharType="end"/>
      </w:r>
    </w:p>
    <w:p w:rsidR="004E184A" w:rsidRDefault="004E184A" w:rsidP="003270DB"/>
    <w:p w:rsidR="004E184A" w:rsidRDefault="004E184A" w:rsidP="003270DB">
      <w:pPr>
        <w:pStyle w:val="MTDisplayEquation"/>
      </w:pPr>
      <w:r>
        <w:tab/>
      </w:r>
      <w:r w:rsidRPr="004E184A">
        <w:rPr>
          <w:position w:val="-10"/>
        </w:rPr>
        <w:object w:dxaOrig="840" w:dyaOrig="279">
          <v:shape id="_x0000_i1026" type="#_x0000_t75" style="width:42pt;height:13pt" o:ole="">
            <v:imagedata r:id="rId9" o:title=""/>
          </v:shape>
          <o:OLEObject Type="Embed" ProgID="Equation.DSMT4" ShapeID="_x0000_i1026" DrawAspect="Content" ObjectID="_1795177420" r:id="rId1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E7865">
        <w:fldChar w:fldCharType="begin"/>
      </w:r>
      <w:r w:rsidR="006E7865">
        <w:instrText xml:space="preserve"> SEQ MTEqn \c \* Arabic \* MERGEFORMAT </w:instrText>
      </w:r>
      <w:r w:rsidR="006E7865">
        <w:fldChar w:fldCharType="separate"/>
      </w:r>
      <w:r>
        <w:rPr>
          <w:noProof/>
        </w:rPr>
        <w:instrText>2</w:instrText>
      </w:r>
      <w:r w:rsidR="006E7865">
        <w:rPr>
          <w:noProof/>
        </w:rPr>
        <w:fldChar w:fldCharType="end"/>
      </w:r>
      <w:r>
        <w:instrText>)</w:instrText>
      </w:r>
      <w:r>
        <w:fldChar w:fldCharType="end"/>
      </w:r>
    </w:p>
    <w:p w:rsidR="0030304F" w:rsidRPr="003270DB" w:rsidRDefault="0030304F" w:rsidP="003270DB">
      <w:pPr>
        <w:pStyle w:val="Balk2"/>
      </w:pPr>
      <w:r w:rsidRPr="003270DB">
        <w:t>2.1. Subsections</w:t>
      </w:r>
    </w:p>
    <w:p w:rsidR="0030304F" w:rsidRPr="0030304F" w:rsidRDefault="0030304F" w:rsidP="003270DB"/>
    <w:p w:rsidR="004E184A" w:rsidRDefault="0030304F" w:rsidP="003270DB">
      <w:r w:rsidRPr="0030304F">
        <w:t>Subsection heading should be formatted with 10 pt. font size and bold style.</w:t>
      </w:r>
      <w:r w:rsidR="00D72C04">
        <w:t xml:space="preserve"> </w:t>
      </w:r>
      <w:r w:rsidR="00D72C04" w:rsidRPr="00D72C04">
        <w:t>There should be also one blank line before and after figures and tables. Captions, figures and tables should be aligned to middle of the page. There is not any restriction font size for texts in table.</w:t>
      </w:r>
    </w:p>
    <w:p w:rsidR="00D72C04" w:rsidRPr="003270DB" w:rsidRDefault="00D72C04" w:rsidP="003270DB"/>
    <w:p w:rsidR="00D72C04" w:rsidRPr="003270DB" w:rsidRDefault="00907635" w:rsidP="003270DB">
      <w:pPr>
        <w:jc w:val="center"/>
      </w:pPr>
      <w:r w:rsidRPr="003270DB">
        <w:rPr>
          <w:noProof/>
          <w:lang w:val="tr-TR" w:eastAsia="tr-TR"/>
        </w:rPr>
        <w:lastRenderedPageBreak/>
        <w:drawing>
          <wp:inline distT="0" distB="0" distL="0" distR="0">
            <wp:extent cx="1440180" cy="1440180"/>
            <wp:effectExtent l="0" t="0" r="0"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rsidR="00D72C04" w:rsidRPr="003270DB" w:rsidRDefault="00D72C04" w:rsidP="003270DB">
      <w:pPr>
        <w:pStyle w:val="ResimYazs"/>
      </w:pPr>
      <w:r w:rsidRPr="003270DB">
        <w:rPr>
          <w:b/>
        </w:rPr>
        <w:t>Figure 1.</w:t>
      </w:r>
      <w:r w:rsidRPr="003270DB">
        <w:t xml:space="preserve"> Caption of figure</w:t>
      </w:r>
    </w:p>
    <w:p w:rsidR="00D72C04" w:rsidRPr="003270DB" w:rsidRDefault="00D72C04" w:rsidP="003270DB">
      <w:pPr>
        <w:jc w:val="center"/>
      </w:pPr>
    </w:p>
    <w:p w:rsidR="00D72C04" w:rsidRPr="003270DB" w:rsidRDefault="00907635" w:rsidP="003270DB">
      <w:pPr>
        <w:jc w:val="center"/>
      </w:pPr>
      <w:r w:rsidRPr="003270DB">
        <w:rPr>
          <w:noProof/>
          <w:lang w:val="tr-TR" w:eastAsia="tr-TR"/>
        </w:rPr>
        <w:drawing>
          <wp:inline distT="0" distB="0" distL="0" distR="0">
            <wp:extent cx="1440180" cy="1440180"/>
            <wp:effectExtent l="0" t="0" r="0"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rsidR="00D72C04" w:rsidRPr="003270DB" w:rsidRDefault="00D72C04" w:rsidP="008A65A7">
      <w:pPr>
        <w:pStyle w:val="ResimYazs"/>
        <w:jc w:val="both"/>
      </w:pPr>
      <w:r w:rsidRPr="003270DB">
        <w:rPr>
          <w:b/>
        </w:rPr>
        <w:t>Figure</w:t>
      </w:r>
      <w:r w:rsidR="00FB509C" w:rsidRPr="003270DB">
        <w:rPr>
          <w:b/>
        </w:rPr>
        <w:t xml:space="preserve"> 2</w:t>
      </w:r>
      <w:r w:rsidRPr="003270DB">
        <w:rPr>
          <w:b/>
        </w:rPr>
        <w:t>.</w:t>
      </w:r>
      <w:r w:rsidRPr="003270DB">
        <w:t xml:space="preserve"> Caption of figure</w:t>
      </w:r>
      <w:r w:rsidR="00642540" w:rsidRPr="003270DB">
        <w:t xml:space="preserve">: </w:t>
      </w:r>
      <w:r w:rsidR="008A65A7" w:rsidRPr="008A65A7">
        <w:t>When a figure or table caption is more than one line, the content should be aligned like this</w:t>
      </w:r>
    </w:p>
    <w:p w:rsidR="00D72C04" w:rsidRPr="003270DB" w:rsidRDefault="00D72C04" w:rsidP="003270DB">
      <w:pPr>
        <w:jc w:val="center"/>
      </w:pPr>
    </w:p>
    <w:p w:rsidR="00D72C04" w:rsidRPr="003270DB" w:rsidRDefault="00D72C04" w:rsidP="003270DB">
      <w:pPr>
        <w:pStyle w:val="ResimYazs"/>
        <w:spacing w:before="0" w:after="60"/>
      </w:pPr>
      <w:r w:rsidRPr="003270DB">
        <w:rPr>
          <w:b/>
        </w:rPr>
        <w:t>Table 1.</w:t>
      </w:r>
      <w:r w:rsidRPr="003270DB">
        <w:t xml:space="preserve"> </w:t>
      </w:r>
      <w:r w:rsidRPr="003270DB">
        <w:rPr>
          <w:rStyle w:val="TabloYazsChar"/>
        </w:rPr>
        <w:t>Caption</w:t>
      </w:r>
      <w:r w:rsidRPr="003270DB">
        <w:t xml:space="preserve"> of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762"/>
        <w:gridCol w:w="761"/>
        <w:gridCol w:w="636"/>
      </w:tblGrid>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A</w:t>
            </w:r>
          </w:p>
        </w:tc>
        <w:tc>
          <w:tcPr>
            <w:tcW w:w="762" w:type="dxa"/>
            <w:shd w:val="clear" w:color="auto" w:fill="auto"/>
            <w:vAlign w:val="center"/>
            <w:hideMark/>
          </w:tcPr>
          <w:p w:rsidR="00D72C04" w:rsidRPr="003270DB" w:rsidRDefault="00D72C04" w:rsidP="0009581D">
            <w:pPr>
              <w:jc w:val="center"/>
            </w:pPr>
            <w:r w:rsidRPr="003270DB">
              <w:t>X</w:t>
            </w:r>
          </w:p>
        </w:tc>
        <w:tc>
          <w:tcPr>
            <w:tcW w:w="761" w:type="dxa"/>
            <w:shd w:val="clear" w:color="auto" w:fill="auto"/>
            <w:vAlign w:val="center"/>
            <w:hideMark/>
          </w:tcPr>
          <w:p w:rsidR="00D72C04" w:rsidRPr="003270DB" w:rsidRDefault="00D72C04" w:rsidP="0009581D">
            <w:pPr>
              <w:jc w:val="center"/>
            </w:pPr>
            <w:r w:rsidRPr="003270DB">
              <w:t>Y</w:t>
            </w:r>
          </w:p>
        </w:tc>
        <w:tc>
          <w:tcPr>
            <w:tcW w:w="636" w:type="dxa"/>
            <w:shd w:val="clear" w:color="auto" w:fill="auto"/>
            <w:vAlign w:val="center"/>
          </w:tcPr>
          <w:p w:rsidR="00D72C04" w:rsidRPr="003270DB" w:rsidRDefault="00D72C04" w:rsidP="0009581D">
            <w:pPr>
              <w:jc w:val="center"/>
            </w:pPr>
            <w:r w:rsidRPr="003270DB">
              <w:t>Z</w:t>
            </w:r>
          </w:p>
        </w:tc>
      </w:tr>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a</w:t>
            </w:r>
          </w:p>
        </w:tc>
        <w:tc>
          <w:tcPr>
            <w:tcW w:w="762" w:type="dxa"/>
            <w:shd w:val="clear" w:color="auto" w:fill="auto"/>
            <w:vAlign w:val="center"/>
          </w:tcPr>
          <w:p w:rsidR="00D72C04" w:rsidRPr="003270DB" w:rsidRDefault="00D72C04" w:rsidP="0009581D">
            <w:pPr>
              <w:jc w:val="center"/>
            </w:pPr>
            <w:r w:rsidRPr="003270DB">
              <w:t>x</w:t>
            </w:r>
          </w:p>
        </w:tc>
        <w:tc>
          <w:tcPr>
            <w:tcW w:w="761" w:type="dxa"/>
            <w:shd w:val="clear" w:color="auto" w:fill="auto"/>
            <w:vAlign w:val="center"/>
          </w:tcPr>
          <w:p w:rsidR="00D72C04" w:rsidRPr="003270DB" w:rsidRDefault="00D72C04" w:rsidP="0009581D">
            <w:pPr>
              <w:jc w:val="center"/>
            </w:pPr>
            <w:r w:rsidRPr="003270DB">
              <w:t>y</w:t>
            </w:r>
          </w:p>
        </w:tc>
        <w:tc>
          <w:tcPr>
            <w:tcW w:w="636" w:type="dxa"/>
            <w:shd w:val="clear" w:color="auto" w:fill="auto"/>
            <w:vAlign w:val="center"/>
          </w:tcPr>
          <w:p w:rsidR="00D72C04" w:rsidRPr="003270DB" w:rsidRDefault="00D72C04" w:rsidP="0009581D">
            <w:pPr>
              <w:jc w:val="center"/>
            </w:pPr>
            <w:r w:rsidRPr="003270DB">
              <w:t>z</w:t>
            </w:r>
          </w:p>
        </w:tc>
      </w:tr>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b</w:t>
            </w:r>
          </w:p>
        </w:tc>
        <w:tc>
          <w:tcPr>
            <w:tcW w:w="762" w:type="dxa"/>
            <w:shd w:val="clear" w:color="auto" w:fill="auto"/>
            <w:vAlign w:val="center"/>
          </w:tcPr>
          <w:p w:rsidR="00D72C04" w:rsidRPr="003270DB" w:rsidRDefault="00D72C04" w:rsidP="0009581D">
            <w:pPr>
              <w:jc w:val="center"/>
            </w:pPr>
            <w:r w:rsidRPr="003270DB">
              <w:t>w</w:t>
            </w:r>
          </w:p>
        </w:tc>
        <w:tc>
          <w:tcPr>
            <w:tcW w:w="761" w:type="dxa"/>
            <w:shd w:val="clear" w:color="auto" w:fill="auto"/>
            <w:vAlign w:val="center"/>
          </w:tcPr>
          <w:p w:rsidR="00D72C04" w:rsidRPr="003270DB" w:rsidRDefault="00D72C04" w:rsidP="0009581D">
            <w:pPr>
              <w:jc w:val="center"/>
            </w:pPr>
            <w:r w:rsidRPr="003270DB">
              <w:t>q</w:t>
            </w:r>
          </w:p>
        </w:tc>
        <w:tc>
          <w:tcPr>
            <w:tcW w:w="636" w:type="dxa"/>
            <w:shd w:val="clear" w:color="auto" w:fill="auto"/>
            <w:vAlign w:val="center"/>
          </w:tcPr>
          <w:p w:rsidR="00D72C04" w:rsidRPr="003270DB" w:rsidRDefault="00D72C04" w:rsidP="0009581D">
            <w:pPr>
              <w:jc w:val="center"/>
            </w:pPr>
            <w:r w:rsidRPr="003270DB">
              <w:t>r</w:t>
            </w:r>
          </w:p>
        </w:tc>
      </w:tr>
    </w:tbl>
    <w:p w:rsidR="00D72C04" w:rsidRPr="003270DB" w:rsidRDefault="00D72C04" w:rsidP="003270DB">
      <w:pPr>
        <w:jc w:val="center"/>
      </w:pPr>
    </w:p>
    <w:p w:rsidR="00CE0A97" w:rsidRPr="004B195A" w:rsidRDefault="00925E47" w:rsidP="003270DB">
      <w:pPr>
        <w:pStyle w:val="Balk1"/>
      </w:pPr>
      <w:r>
        <w:t xml:space="preserve">3. </w:t>
      </w:r>
      <w:r w:rsidR="007330F4" w:rsidRPr="004B195A">
        <w:t>RESULTS</w:t>
      </w:r>
    </w:p>
    <w:p w:rsidR="00CE0A97" w:rsidRPr="00CE0A97" w:rsidRDefault="00CE0A97" w:rsidP="003270DB"/>
    <w:p w:rsidR="00CE0A97" w:rsidRPr="00CE0A97" w:rsidRDefault="00CE0A97" w:rsidP="003270DB">
      <w:r w:rsidRPr="00CE0A97">
        <w:t xml:space="preserve">The results should be clear and concise. </w:t>
      </w:r>
    </w:p>
    <w:p w:rsidR="00CE0A97" w:rsidRPr="00CE0A97" w:rsidRDefault="00CE0A97" w:rsidP="003270DB"/>
    <w:p w:rsidR="00CE0A97" w:rsidRPr="004B195A" w:rsidRDefault="00925E47" w:rsidP="003270DB">
      <w:pPr>
        <w:pStyle w:val="Balk1"/>
      </w:pPr>
      <w:r>
        <w:t xml:space="preserve">4. </w:t>
      </w:r>
      <w:r w:rsidR="007330F4" w:rsidRPr="004B195A">
        <w:t>CONCLUSION</w:t>
      </w:r>
    </w:p>
    <w:p w:rsidR="00CE0A97" w:rsidRPr="00CE0A97" w:rsidRDefault="00CE0A97" w:rsidP="003270DB"/>
    <w:p w:rsidR="00CE0A97" w:rsidRPr="003270DB" w:rsidRDefault="00CE0A97" w:rsidP="003270DB">
      <w:pPr>
        <w:rPr>
          <w:rStyle w:val="tlid-translation"/>
        </w:rPr>
      </w:pPr>
      <w:r w:rsidRPr="003270DB">
        <w:rPr>
          <w:rStyle w:val="tlid-translation"/>
        </w:rPr>
        <w:t xml:space="preserve">In this section, the importance and effects of the study should be clearly stated. </w:t>
      </w:r>
      <w:r w:rsidRPr="003270DB">
        <w:t xml:space="preserve">In the conclusion part, the results should not be repeated. </w:t>
      </w:r>
    </w:p>
    <w:p w:rsidR="00CE0A97" w:rsidRPr="00CE0A97" w:rsidRDefault="00CE0A97" w:rsidP="003270DB"/>
    <w:p w:rsidR="00CE0A97" w:rsidRPr="00C22473" w:rsidRDefault="00CE0A97" w:rsidP="003270DB">
      <w:pPr>
        <w:pStyle w:val="Balk1"/>
      </w:pPr>
      <w:r w:rsidRPr="00C22473">
        <w:t>Acknowledgments</w:t>
      </w:r>
    </w:p>
    <w:p w:rsidR="00CE0A97" w:rsidRPr="00CE0A97" w:rsidRDefault="00CE0A97" w:rsidP="003270DB"/>
    <w:p w:rsidR="00CE0A97" w:rsidRPr="00CE0A97" w:rsidRDefault="00CE0A97" w:rsidP="003270DB">
      <w:r w:rsidRPr="00CE0A97">
        <w:t>You can include your acknowledgments information here. If it is not applicable just delete this section.</w:t>
      </w:r>
    </w:p>
    <w:p w:rsidR="00CE0A97" w:rsidRPr="00CE0A97" w:rsidRDefault="00CE0A97" w:rsidP="003270DB"/>
    <w:p w:rsidR="00CE0A97" w:rsidRPr="008A694F" w:rsidRDefault="00CE0A97" w:rsidP="003270DB">
      <w:pPr>
        <w:pStyle w:val="Balk1"/>
      </w:pPr>
      <w:r w:rsidRPr="008A694F">
        <w:t>References</w:t>
      </w:r>
    </w:p>
    <w:p w:rsidR="00CE0A97" w:rsidRPr="00CE0A97" w:rsidRDefault="00CE0A97" w:rsidP="003270DB"/>
    <w:p w:rsidR="00CE0A97" w:rsidRPr="00CE0A97" w:rsidRDefault="00CE0A97" w:rsidP="003270DB">
      <w:r w:rsidRPr="00CE0A97">
        <w:t>Use the “IEEE” style for references. The references are als</w:t>
      </w:r>
      <w:r w:rsidR="0016511C">
        <w:t xml:space="preserve">o in 10 pt. </w:t>
      </w:r>
      <w:r w:rsidR="0016511C" w:rsidRPr="0016511C">
        <w:t>To learn more about IEEE referencing sty</w:t>
      </w:r>
      <w:r w:rsidR="0016511C">
        <w:t>le, please review this document:</w:t>
      </w:r>
      <w:r w:rsidR="0016511C" w:rsidRPr="0016511C">
        <w:t xml:space="preserve"> https://www.bath.ac.uk/publications/library-guides-to-citing-referencing/</w:t>
      </w:r>
      <w:r w:rsidR="0016511C">
        <w:br/>
      </w:r>
      <w:r w:rsidR="0016511C" w:rsidRPr="0016511C">
        <w:t>attachments/ieee-style-guide.pdf</w:t>
      </w:r>
    </w:p>
    <w:p w:rsidR="00D72C04" w:rsidRDefault="00D72C04" w:rsidP="003270DB"/>
    <w:p w:rsidR="0029590C" w:rsidRPr="00111104" w:rsidRDefault="0029590C" w:rsidP="0029590C">
      <w:pPr>
        <w:rPr>
          <w:b/>
        </w:rPr>
      </w:pPr>
      <w:r w:rsidRPr="00111104">
        <w:rPr>
          <w:b/>
        </w:rPr>
        <w:t xml:space="preserve">Reference to a journal </w:t>
      </w:r>
      <w:r w:rsidRPr="00C876F5">
        <w:rPr>
          <w:b/>
        </w:rPr>
        <w:t>article</w:t>
      </w:r>
      <w:r w:rsidRPr="00111104">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782608">
        <w:rPr>
          <w:lang w:val="en-GB"/>
        </w:rPr>
        <w:t xml:space="preserve">U. C. Hasar, G. Ozturk, Y. Kaya, J. J. Barroso, M. Ertugrul, O. M. Ramahi, and M. S. S. Alfaqawi, “Temporal reflection response of plane waves within an N-layer structure involving bianisotropy,” </w:t>
      </w:r>
      <w:r w:rsidRPr="003B40B5">
        <w:rPr>
          <w:i/>
          <w:lang w:val="en-GB"/>
        </w:rPr>
        <w:t>IEEE Transactions on Antennas and Propagation</w:t>
      </w:r>
      <w:r w:rsidRPr="00782608">
        <w:rPr>
          <w:lang w:val="en-GB"/>
        </w:rPr>
        <w:t>, vol. 71, no. 7, pp. 5946</w:t>
      </w:r>
      <w:r w:rsidRPr="004D75A6">
        <w:t>–</w:t>
      </w:r>
      <w:r w:rsidRPr="00782608">
        <w:rPr>
          <w:lang w:val="en-GB"/>
        </w:rPr>
        <w:t>5953, Jul. 2023.</w:t>
      </w:r>
    </w:p>
    <w:p w:rsidR="0029590C" w:rsidRPr="004D75A6" w:rsidRDefault="0029590C" w:rsidP="0029590C">
      <w:pPr>
        <w:pStyle w:val="ListeParagraf"/>
        <w:widowControl w:val="0"/>
        <w:numPr>
          <w:ilvl w:val="0"/>
          <w:numId w:val="1"/>
        </w:numPr>
        <w:autoSpaceDE w:val="0"/>
        <w:autoSpaceDN w:val="0"/>
        <w:adjustRightInd w:val="0"/>
        <w:ind w:left="567" w:hanging="567"/>
        <w:rPr>
          <w:lang w:val="en-GB"/>
        </w:rPr>
      </w:pPr>
      <w:r w:rsidRPr="004D75A6">
        <w:rPr>
          <w:lang w:val="en-GB"/>
        </w:rPr>
        <w:t xml:space="preserve">F. Yan, Y. Gu, Y. Wang, C. M. Wang, X. Y. Hu, H. X. Peng, et al., “Study on the interaction mechanism between laser and rock during perforation,” </w:t>
      </w:r>
      <w:r w:rsidRPr="004D75A6">
        <w:rPr>
          <w:i/>
          <w:lang w:val="en-GB"/>
        </w:rPr>
        <w:t>Optics and Laser Technology</w:t>
      </w:r>
      <w:r w:rsidRPr="004D75A6">
        <w:rPr>
          <w:lang w:val="en-GB"/>
        </w:rPr>
        <w:t>, vol. 54, pp. 303–308, Dec. 2013.</w:t>
      </w:r>
    </w:p>
    <w:p w:rsidR="0029590C" w:rsidRPr="00637CE0" w:rsidRDefault="0029590C" w:rsidP="0029590C">
      <w:pPr>
        <w:pStyle w:val="ListeParagraf"/>
        <w:widowControl w:val="0"/>
        <w:numPr>
          <w:ilvl w:val="0"/>
          <w:numId w:val="1"/>
        </w:numPr>
        <w:autoSpaceDE w:val="0"/>
        <w:autoSpaceDN w:val="0"/>
        <w:adjustRightInd w:val="0"/>
        <w:ind w:left="567" w:hanging="567"/>
        <w:rPr>
          <w:lang w:val="en-GB"/>
        </w:rPr>
      </w:pPr>
      <w:r w:rsidRPr="00637CE0">
        <w:rPr>
          <w:lang w:val="en-GB"/>
        </w:rPr>
        <w:t xml:space="preserve">U. C. Hasar, Y. Kaya, M. Izginli, H. Ozturk, M. Ertugrul, and O. M. Ramahi, “Coupling analysis between resonating metamaterial slabs using scattering parameters,” </w:t>
      </w:r>
      <w:r w:rsidRPr="00637CE0">
        <w:rPr>
          <w:i/>
          <w:lang w:val="en-GB"/>
        </w:rPr>
        <w:t>Measurement</w:t>
      </w:r>
      <w:r w:rsidRPr="00637CE0">
        <w:rPr>
          <w:lang w:val="en-GB"/>
        </w:rPr>
        <w:t>, vol. 182, art. no. 109562, Sep. 2021.</w:t>
      </w:r>
    </w:p>
    <w:p w:rsidR="0029590C" w:rsidRPr="0039482A" w:rsidRDefault="0029590C" w:rsidP="0029590C">
      <w:pPr>
        <w:rPr>
          <w:b/>
        </w:rPr>
      </w:pPr>
      <w:r w:rsidRPr="0039482A">
        <w:rPr>
          <w:b/>
        </w:rPr>
        <w:t xml:space="preserve">Reference to a </w:t>
      </w:r>
      <w:r>
        <w:rPr>
          <w:b/>
        </w:rPr>
        <w:t>e-</w:t>
      </w:r>
      <w:r w:rsidRPr="0039482A">
        <w:rPr>
          <w:b/>
        </w:rPr>
        <w:t>journal article:</w:t>
      </w:r>
    </w:p>
    <w:p w:rsidR="0029590C" w:rsidRPr="007513D7" w:rsidRDefault="0029590C" w:rsidP="0029590C">
      <w:pPr>
        <w:pStyle w:val="ListeParagraf"/>
        <w:widowControl w:val="0"/>
        <w:numPr>
          <w:ilvl w:val="0"/>
          <w:numId w:val="1"/>
        </w:numPr>
        <w:autoSpaceDE w:val="0"/>
        <w:autoSpaceDN w:val="0"/>
        <w:adjustRightInd w:val="0"/>
        <w:ind w:left="567" w:hanging="567"/>
        <w:rPr>
          <w:lang w:val="en-GB"/>
        </w:rPr>
      </w:pPr>
      <w:r>
        <w:rPr>
          <w:lang w:val="en-GB"/>
        </w:rPr>
        <w:t>M. Semilof. (1996, Jul.</w:t>
      </w:r>
      <w:r w:rsidRPr="007513D7">
        <w:rPr>
          <w:lang w:val="en-GB"/>
        </w:rPr>
        <w:t xml:space="preserve">). “Driving commerce to the web-corporate intranets and the internet: Lines blur”. </w:t>
      </w:r>
      <w:r w:rsidRPr="000C7E9E">
        <w:rPr>
          <w:i/>
          <w:lang w:val="en-GB"/>
        </w:rPr>
        <w:t>Communication Week</w:t>
      </w:r>
      <w:r w:rsidRPr="007513D7">
        <w:rPr>
          <w:lang w:val="en-GB"/>
        </w:rPr>
        <w:t xml:space="preserve"> [Online]. vol. 6, </w:t>
      </w:r>
      <w:r>
        <w:rPr>
          <w:lang w:val="en-GB"/>
        </w:rPr>
        <w:t>no.</w:t>
      </w:r>
      <w:r w:rsidRPr="007513D7">
        <w:rPr>
          <w:lang w:val="en-GB"/>
        </w:rPr>
        <w:t xml:space="preserve"> 19. Available: http://www.techweb.com/se/directlinkcgi?CWK19960715S0005</w:t>
      </w:r>
    </w:p>
    <w:p w:rsidR="0029590C" w:rsidRPr="002D1058" w:rsidRDefault="0029590C" w:rsidP="0029590C">
      <w:pPr>
        <w:rPr>
          <w:b/>
        </w:rPr>
      </w:pPr>
      <w:r w:rsidRPr="002D1058">
        <w:rPr>
          <w:b/>
        </w:rPr>
        <w:t xml:space="preserve">Reference to a </w:t>
      </w:r>
      <w:r>
        <w:rPr>
          <w:b/>
        </w:rPr>
        <w:t>book</w:t>
      </w:r>
      <w:r w:rsidRPr="002D1058">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31A86">
        <w:rPr>
          <w:lang w:val="en-GB"/>
        </w:rPr>
        <w:t>I.</w:t>
      </w:r>
      <w:r>
        <w:rPr>
          <w:lang w:val="en-GB"/>
        </w:rPr>
        <w:t xml:space="preserve"> </w:t>
      </w:r>
      <w:r w:rsidRPr="00231A86">
        <w:rPr>
          <w:lang w:val="en-GB"/>
        </w:rPr>
        <w:t>A. Glover and P.</w:t>
      </w:r>
      <w:r>
        <w:rPr>
          <w:lang w:val="en-GB"/>
        </w:rPr>
        <w:t xml:space="preserve"> </w:t>
      </w:r>
      <w:r w:rsidRPr="00231A86">
        <w:rPr>
          <w:lang w:val="en-GB"/>
        </w:rPr>
        <w:t xml:space="preserve">M. Grant, </w:t>
      </w:r>
      <w:r w:rsidRPr="00231A86">
        <w:rPr>
          <w:i/>
          <w:lang w:val="en-GB"/>
        </w:rPr>
        <w:t>Digital Communications</w:t>
      </w:r>
      <w:r w:rsidRPr="00231A86">
        <w:rPr>
          <w:lang w:val="en-GB"/>
        </w:rPr>
        <w:t>, 3rd ed. Harlow: Prentice Hall, 2009.</w:t>
      </w:r>
    </w:p>
    <w:p w:rsidR="0029590C" w:rsidRPr="0097668A" w:rsidRDefault="0029590C" w:rsidP="0029590C">
      <w:pPr>
        <w:rPr>
          <w:b/>
        </w:rPr>
      </w:pPr>
      <w:r w:rsidRPr="0097668A">
        <w:rPr>
          <w:b/>
        </w:rPr>
        <w:t>Reference to a book</w:t>
      </w:r>
      <w:r>
        <w:rPr>
          <w:b/>
        </w:rPr>
        <w:t xml:space="preserve"> chapter</w:t>
      </w:r>
      <w:r w:rsidRPr="0097668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Pr>
          <w:lang w:val="en-GB"/>
        </w:rPr>
        <w:t>C. W. Li and G. J. Wang, “</w:t>
      </w:r>
      <w:r w:rsidRPr="00536ECC">
        <w:rPr>
          <w:lang w:val="en-GB"/>
        </w:rPr>
        <w:t xml:space="preserve">MEMS manufacturing techniques </w:t>
      </w:r>
      <w:r>
        <w:rPr>
          <w:lang w:val="en-GB"/>
        </w:rPr>
        <w:t>for tissue scaffolding devices,”</w:t>
      </w:r>
      <w:r w:rsidRPr="00536ECC">
        <w:rPr>
          <w:lang w:val="en-GB"/>
        </w:rPr>
        <w:t xml:space="preserve"> in </w:t>
      </w:r>
      <w:r w:rsidRPr="003421F6">
        <w:rPr>
          <w:i/>
          <w:lang w:val="en-GB"/>
        </w:rPr>
        <w:t>Mems for Biomedical Applications</w:t>
      </w:r>
      <w:r w:rsidRPr="00536ECC">
        <w:rPr>
          <w:lang w:val="en-GB"/>
        </w:rPr>
        <w:t>, S. Bhansali and A. Vasudev, Eds. Cambridg</w:t>
      </w:r>
      <w:r>
        <w:rPr>
          <w:lang w:val="en-GB"/>
        </w:rPr>
        <w:t>e: Woodhead, 2012, pp. 192</w:t>
      </w:r>
      <w:r w:rsidRPr="004D75A6">
        <w:rPr>
          <w:lang w:val="en-GB"/>
        </w:rPr>
        <w:t>–</w:t>
      </w:r>
      <w:r>
        <w:rPr>
          <w:lang w:val="en-GB"/>
        </w:rPr>
        <w:t>217.</w:t>
      </w:r>
    </w:p>
    <w:p w:rsidR="0029590C" w:rsidRPr="0097668A" w:rsidRDefault="0029590C" w:rsidP="0029590C">
      <w:pPr>
        <w:rPr>
          <w:b/>
        </w:rPr>
      </w:pPr>
      <w:r w:rsidRPr="0097668A">
        <w:rPr>
          <w:b/>
        </w:rPr>
        <w:t xml:space="preserve">Reference to a </w:t>
      </w:r>
      <w:r w:rsidRPr="0030392E">
        <w:rPr>
          <w:b/>
        </w:rPr>
        <w:t>electronic</w:t>
      </w:r>
      <w:r>
        <w:rPr>
          <w:b/>
        </w:rPr>
        <w:t xml:space="preserve"> </w:t>
      </w:r>
      <w:r w:rsidRPr="0097668A">
        <w:rPr>
          <w:b/>
        </w:rPr>
        <w:t>book:</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9C39E6">
        <w:rPr>
          <w:lang w:val="en-GB"/>
        </w:rPr>
        <w:t xml:space="preserve">W. Zeng, H. Yu, </w:t>
      </w:r>
      <w:r>
        <w:rPr>
          <w:lang w:val="en-GB"/>
        </w:rPr>
        <w:t xml:space="preserve">and </w:t>
      </w:r>
      <w:r w:rsidRPr="009C39E6">
        <w:rPr>
          <w:lang w:val="en-GB"/>
        </w:rPr>
        <w:t>C. Lin. (2013, Dec</w:t>
      </w:r>
      <w:r>
        <w:rPr>
          <w:lang w:val="en-GB"/>
        </w:rPr>
        <w:t>.</w:t>
      </w:r>
      <w:r w:rsidRPr="009C39E6">
        <w:rPr>
          <w:lang w:val="en-GB"/>
        </w:rPr>
        <w:t xml:space="preserve"> 19). </w:t>
      </w:r>
      <w:r w:rsidRPr="00D374A4">
        <w:rPr>
          <w:i/>
          <w:lang w:val="en-GB"/>
        </w:rPr>
        <w:t>Multimedia Security Technologies for Digital Rights Management</w:t>
      </w:r>
      <w:r w:rsidRPr="009C39E6">
        <w:rPr>
          <w:lang w:val="en-GB"/>
        </w:rPr>
        <w:t xml:space="preserve"> [Online]. Available: http://goo.gl/xQ6doi</w:t>
      </w:r>
    </w:p>
    <w:p w:rsidR="0029590C" w:rsidRPr="0091101B" w:rsidRDefault="0029590C" w:rsidP="0029590C">
      <w:pPr>
        <w:rPr>
          <w:b/>
        </w:rPr>
      </w:pPr>
      <w:r w:rsidRPr="0091101B">
        <w:rPr>
          <w:b/>
        </w:rPr>
        <w:t>Reference to a conference paper:</w:t>
      </w:r>
    </w:p>
    <w:p w:rsidR="0029590C" w:rsidRPr="0006149D" w:rsidRDefault="0029590C" w:rsidP="0029590C">
      <w:pPr>
        <w:pStyle w:val="ListeParagraf"/>
        <w:widowControl w:val="0"/>
        <w:numPr>
          <w:ilvl w:val="0"/>
          <w:numId w:val="1"/>
        </w:numPr>
        <w:autoSpaceDE w:val="0"/>
        <w:autoSpaceDN w:val="0"/>
        <w:adjustRightInd w:val="0"/>
        <w:ind w:left="567" w:hanging="567"/>
        <w:rPr>
          <w:lang w:val="en-GB"/>
        </w:rPr>
      </w:pPr>
      <w:r w:rsidRPr="0006149D">
        <w:rPr>
          <w:lang w:val="en-GB"/>
        </w:rPr>
        <w:t xml:space="preserve">S. Adachi, T. Horio, </w:t>
      </w:r>
      <w:r>
        <w:rPr>
          <w:lang w:val="en-GB"/>
        </w:rPr>
        <w:t>and T. Suzuki. “</w:t>
      </w:r>
      <w:r w:rsidRPr="0006149D">
        <w:rPr>
          <w:lang w:val="en-GB"/>
        </w:rPr>
        <w:t>Intense vacuum-ultraviolet single-order harmonic pulse by a deep-ultraviolet driving laser,</w:t>
      </w:r>
      <w:r>
        <w:rPr>
          <w:lang w:val="en-GB"/>
        </w:rPr>
        <w:t>”</w:t>
      </w:r>
      <w:r w:rsidRPr="0006149D">
        <w:rPr>
          <w:lang w:val="en-GB"/>
        </w:rPr>
        <w:t xml:space="preserve"> in </w:t>
      </w:r>
      <w:r w:rsidRPr="00A53169">
        <w:rPr>
          <w:i/>
          <w:lang w:val="en-GB"/>
        </w:rPr>
        <w:t>Conf. Lasers and Electro-Optics</w:t>
      </w:r>
      <w:r w:rsidRPr="0006149D">
        <w:rPr>
          <w:lang w:val="en-GB"/>
        </w:rPr>
        <w:t>, San Jose, CA, 2012, pp.</w:t>
      </w:r>
      <w:r>
        <w:rPr>
          <w:lang w:val="en-GB"/>
        </w:rPr>
        <w:t xml:space="preserve"> </w:t>
      </w:r>
      <w:r w:rsidRPr="0006149D">
        <w:rPr>
          <w:lang w:val="en-GB"/>
        </w:rPr>
        <w:t>2118</w:t>
      </w:r>
      <w:r w:rsidRPr="004D75A6">
        <w:rPr>
          <w:lang w:val="en-GB"/>
        </w:rPr>
        <w:t>–</w:t>
      </w:r>
      <w:r w:rsidRPr="0006149D">
        <w:rPr>
          <w:lang w:val="en-GB"/>
        </w:rPr>
        <w:t>2120.</w:t>
      </w:r>
    </w:p>
    <w:p w:rsidR="0029590C" w:rsidRPr="0091101B" w:rsidRDefault="0029590C" w:rsidP="0029590C">
      <w:pPr>
        <w:rPr>
          <w:b/>
        </w:rPr>
      </w:pPr>
      <w:r w:rsidRPr="0091101B">
        <w:rPr>
          <w:b/>
        </w:rPr>
        <w:t xml:space="preserve">Reference to a </w:t>
      </w:r>
      <w:r>
        <w:rPr>
          <w:b/>
        </w:rPr>
        <w:t>report</w:t>
      </w:r>
      <w:r w:rsidRPr="0091101B">
        <w:rPr>
          <w:b/>
        </w:rPr>
        <w:t>:</w:t>
      </w:r>
    </w:p>
    <w:p w:rsidR="0029590C" w:rsidRPr="00CD1E4E" w:rsidRDefault="0029590C" w:rsidP="0029590C">
      <w:pPr>
        <w:pStyle w:val="ListeParagraf"/>
        <w:widowControl w:val="0"/>
        <w:numPr>
          <w:ilvl w:val="0"/>
          <w:numId w:val="1"/>
        </w:numPr>
        <w:autoSpaceDE w:val="0"/>
        <w:autoSpaceDN w:val="0"/>
        <w:adjustRightInd w:val="0"/>
        <w:ind w:left="567" w:hanging="567"/>
        <w:rPr>
          <w:lang w:val="en-GB"/>
        </w:rPr>
      </w:pPr>
      <w:r w:rsidRPr="00CD1E4E">
        <w:rPr>
          <w:lang w:val="en-GB"/>
        </w:rPr>
        <w:t>P. Diament and W. L. Luptakin, “V-line surface-wave radiation and scanning,” Dept. Elect. Eng., Colombia Univ., New York, Sci. Rep. 85, 1991.</w:t>
      </w:r>
    </w:p>
    <w:p w:rsidR="0029590C" w:rsidRPr="0091101B" w:rsidRDefault="0029590C" w:rsidP="0029590C">
      <w:pPr>
        <w:rPr>
          <w:b/>
        </w:rPr>
      </w:pPr>
      <w:r w:rsidRPr="0091101B">
        <w:rPr>
          <w:b/>
        </w:rPr>
        <w:t xml:space="preserve">Reference to a </w:t>
      </w:r>
      <w:r>
        <w:rPr>
          <w:b/>
        </w:rPr>
        <w:t>patent</w:t>
      </w:r>
      <w:r w:rsidRPr="0091101B">
        <w:rPr>
          <w:b/>
        </w:rPr>
        <w:t>:</w:t>
      </w:r>
    </w:p>
    <w:p w:rsidR="0029590C" w:rsidRPr="00CD1E4E" w:rsidRDefault="0029590C" w:rsidP="0029590C">
      <w:pPr>
        <w:pStyle w:val="ListeParagraf"/>
        <w:widowControl w:val="0"/>
        <w:numPr>
          <w:ilvl w:val="0"/>
          <w:numId w:val="1"/>
        </w:numPr>
        <w:autoSpaceDE w:val="0"/>
        <w:autoSpaceDN w:val="0"/>
        <w:adjustRightInd w:val="0"/>
        <w:ind w:left="567" w:hanging="567"/>
        <w:rPr>
          <w:lang w:val="en-GB"/>
        </w:rPr>
      </w:pPr>
      <w:r w:rsidRPr="00DF74F4">
        <w:rPr>
          <w:lang w:val="en-GB"/>
        </w:rPr>
        <w:t>J. P. Wilkinson, “Nonlinear resonant circuit devices,” U.S. Patent 3 624 125, July 16 1990.</w:t>
      </w:r>
    </w:p>
    <w:p w:rsidR="0029590C" w:rsidRPr="0050367A" w:rsidRDefault="0029590C" w:rsidP="0029590C">
      <w:pPr>
        <w:rPr>
          <w:b/>
        </w:rPr>
      </w:pPr>
      <w:r w:rsidRPr="0050367A">
        <w:rPr>
          <w:b/>
        </w:rPr>
        <w:t>Reference to a patent: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5E50AF">
        <w:rPr>
          <w:i/>
          <w:lang w:val="en-GB"/>
        </w:rPr>
        <w:t>Shunt power capacitors</w:t>
      </w:r>
      <w:r w:rsidRPr="005E50AF">
        <w:rPr>
          <w:lang w:val="en-GB"/>
        </w:rPr>
        <w:t>, IEEE standard 18-2012, 2013</w:t>
      </w:r>
      <w:r>
        <w:rPr>
          <w:lang w:val="en-GB"/>
        </w:rPr>
        <w:t>.</w:t>
      </w:r>
    </w:p>
    <w:p w:rsidR="0029590C" w:rsidRPr="0050367A" w:rsidRDefault="0029590C" w:rsidP="0029590C">
      <w:pPr>
        <w:rPr>
          <w:b/>
        </w:rPr>
      </w:pPr>
      <w:r w:rsidRPr="0050367A">
        <w:rPr>
          <w:b/>
        </w:rPr>
        <w:t xml:space="preserve">Reference to a </w:t>
      </w:r>
      <w:r w:rsidRPr="00FB33A8">
        <w:rPr>
          <w:b/>
        </w:rPr>
        <w:t>thesis</w:t>
      </w:r>
      <w:r w:rsidRPr="0050367A">
        <w:rPr>
          <w:b/>
        </w:rPr>
        <w:t>:</w:t>
      </w:r>
    </w:p>
    <w:p w:rsidR="0029590C" w:rsidRPr="00BE2FF9" w:rsidRDefault="0029590C" w:rsidP="0029590C">
      <w:pPr>
        <w:pStyle w:val="ListeParagraf"/>
        <w:widowControl w:val="0"/>
        <w:numPr>
          <w:ilvl w:val="0"/>
          <w:numId w:val="1"/>
        </w:numPr>
        <w:autoSpaceDE w:val="0"/>
        <w:autoSpaceDN w:val="0"/>
        <w:adjustRightInd w:val="0"/>
        <w:ind w:left="567" w:hanging="567"/>
        <w:rPr>
          <w:lang w:val="en-GB"/>
        </w:rPr>
      </w:pPr>
      <w:r w:rsidRPr="00BE2FF9">
        <w:rPr>
          <w:lang w:val="en-GB"/>
        </w:rPr>
        <w:t xml:space="preserve">J. O. Williams, “Narrow-band analyser,” Ph.D. </w:t>
      </w:r>
      <w:r w:rsidRPr="00DF0B17">
        <w:rPr>
          <w:lang w:val="en-GB"/>
        </w:rPr>
        <w:t>thesis</w:t>
      </w:r>
      <w:r w:rsidRPr="00BE2FF9">
        <w:rPr>
          <w:lang w:val="en-GB"/>
        </w:rPr>
        <w:t>, Dept. Elect. Eng., Harvard Univ., Cambridge, MA, 1993.</w:t>
      </w:r>
    </w:p>
    <w:p w:rsidR="0029590C" w:rsidRPr="0050367A" w:rsidRDefault="0029590C" w:rsidP="0029590C">
      <w:pPr>
        <w:rPr>
          <w:b/>
        </w:rPr>
      </w:pPr>
      <w:r w:rsidRPr="0050367A">
        <w:rPr>
          <w:b/>
        </w:rPr>
        <w:t xml:space="preserve">Reference to a </w:t>
      </w:r>
      <w:r>
        <w:rPr>
          <w:b/>
        </w:rPr>
        <w:t>datasheet</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5D5F77">
        <w:rPr>
          <w:lang w:val="en-GB"/>
        </w:rPr>
        <w:t>Texas Instruments, “High speed CMOS logic analog multiplexers/demultiplexers,” 74HC4051 da</w:t>
      </w:r>
      <w:r>
        <w:rPr>
          <w:lang w:val="en-GB"/>
        </w:rPr>
        <w:t>tasheet, Nov. 1997 [Revised Sep</w:t>
      </w:r>
      <w:r w:rsidRPr="005D5F77">
        <w:rPr>
          <w:lang w:val="en-GB"/>
        </w:rPr>
        <w:t>. 2002].</w:t>
      </w:r>
    </w:p>
    <w:p w:rsidR="0029590C" w:rsidRPr="0050367A" w:rsidRDefault="0029590C" w:rsidP="0029590C">
      <w:pPr>
        <w:rPr>
          <w:b/>
        </w:rPr>
      </w:pPr>
      <w:r w:rsidRPr="0050367A">
        <w:rPr>
          <w:b/>
        </w:rPr>
        <w:t xml:space="preserve">Reference to a </w:t>
      </w:r>
      <w:r w:rsidRPr="001C5720">
        <w:rPr>
          <w:b/>
        </w:rPr>
        <w:t>online document</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10280">
        <w:rPr>
          <w:lang w:val="en-GB"/>
        </w:rPr>
        <w:t>M.</w:t>
      </w:r>
      <w:r>
        <w:rPr>
          <w:lang w:val="en-GB"/>
        </w:rPr>
        <w:t xml:space="preserve"> </w:t>
      </w:r>
      <w:r w:rsidRPr="00210280">
        <w:rPr>
          <w:lang w:val="en-GB"/>
        </w:rPr>
        <w:t>R. Brooks, “Musical toothbrush with adjustable neck and mirror,” U.S Patent 326189 [Online], May 19 1992. Available: http://goo.gl/VU1WEk</w:t>
      </w:r>
    </w:p>
    <w:p w:rsidR="0029590C" w:rsidRPr="0050367A" w:rsidRDefault="0029590C" w:rsidP="0029590C">
      <w:pPr>
        <w:rPr>
          <w:b/>
        </w:rPr>
      </w:pPr>
      <w:r w:rsidRPr="0050367A">
        <w:rPr>
          <w:b/>
        </w:rPr>
        <w:t xml:space="preserve">Reference to a </w:t>
      </w:r>
      <w:r>
        <w:rPr>
          <w:b/>
        </w:rPr>
        <w:t>website</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12F17">
        <w:rPr>
          <w:lang w:val="en-GB"/>
        </w:rPr>
        <w:t xml:space="preserve">BBC News. (2013, Nov. 11). </w:t>
      </w:r>
      <w:r w:rsidRPr="00212F17">
        <w:rPr>
          <w:i/>
          <w:lang w:val="en-GB"/>
        </w:rPr>
        <w:t>Microwave signals turned into electrical power</w:t>
      </w:r>
      <w:r w:rsidRPr="00212F17">
        <w:rPr>
          <w:lang w:val="en-GB"/>
        </w:rPr>
        <w:t xml:space="preserve"> [Online]. Available: http://www.bbc.co.uk/news/technology-24897584</w:t>
      </w:r>
    </w:p>
    <w:p w:rsidR="0029590C" w:rsidRPr="0029590C" w:rsidRDefault="0029590C" w:rsidP="0029590C">
      <w:pPr>
        <w:pStyle w:val="ListeParagraf"/>
        <w:widowControl w:val="0"/>
        <w:numPr>
          <w:ilvl w:val="0"/>
          <w:numId w:val="1"/>
        </w:numPr>
        <w:autoSpaceDE w:val="0"/>
        <w:autoSpaceDN w:val="0"/>
        <w:adjustRightInd w:val="0"/>
        <w:ind w:left="567" w:hanging="567"/>
        <w:rPr>
          <w:lang w:val="en-GB"/>
        </w:rPr>
      </w:pPr>
      <w:r w:rsidRPr="00212F17">
        <w:rPr>
          <w:lang w:val="en-GB"/>
        </w:rPr>
        <w:t xml:space="preserve">M. Holland. (2002). </w:t>
      </w:r>
      <w:r w:rsidRPr="00212F17">
        <w:rPr>
          <w:i/>
          <w:lang w:val="en-GB"/>
        </w:rPr>
        <w:t>Guide to citing internet sources</w:t>
      </w:r>
      <w:r w:rsidRPr="00212F17">
        <w:rPr>
          <w:lang w:val="en-GB"/>
        </w:rPr>
        <w:t xml:space="preserve"> [Online]. Available: http://www.bournemouth.ac.uk/library/using/guide_to_citing_internet_sourc.html</w:t>
      </w:r>
    </w:p>
    <w:sectPr w:rsidR="0029590C" w:rsidRPr="0029590C" w:rsidSect="003E2B89">
      <w:footerReference w:type="default" r:id="rId12"/>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65" w:rsidRDefault="006E7865" w:rsidP="003270DB">
      <w:r>
        <w:separator/>
      </w:r>
    </w:p>
  </w:endnote>
  <w:endnote w:type="continuationSeparator" w:id="0">
    <w:p w:rsidR="006E7865" w:rsidRDefault="006E7865" w:rsidP="0032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B89" w:rsidRPr="003E2B89" w:rsidRDefault="003E2B89" w:rsidP="00AA5E53">
    <w:pPr>
      <w:pStyle w:val="AltBilgi"/>
      <w:jc w:val="center"/>
    </w:pPr>
    <w:r w:rsidRPr="003E2B89">
      <w:fldChar w:fldCharType="begin"/>
    </w:r>
    <w:r w:rsidRPr="003E2B89">
      <w:instrText>PAGE   \* MERGEFORMAT</w:instrText>
    </w:r>
    <w:r w:rsidRPr="003E2B89">
      <w:fldChar w:fldCharType="separate"/>
    </w:r>
    <w:r w:rsidR="006E7865">
      <w:rPr>
        <w:noProof/>
      </w:rPr>
      <w:t>1</w:t>
    </w:r>
    <w:r w:rsidRPr="003E2B89">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65" w:rsidRDefault="006E7865" w:rsidP="003270DB">
      <w:r>
        <w:separator/>
      </w:r>
    </w:p>
  </w:footnote>
  <w:footnote w:type="continuationSeparator" w:id="0">
    <w:p w:rsidR="006E7865" w:rsidRDefault="006E7865" w:rsidP="003270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607C"/>
    <w:multiLevelType w:val="hybridMultilevel"/>
    <w:tmpl w:val="8F7E3D72"/>
    <w:lvl w:ilvl="0" w:tplc="93AA87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95"/>
    <w:rsid w:val="0000454F"/>
    <w:rsid w:val="000762D5"/>
    <w:rsid w:val="0009581D"/>
    <w:rsid w:val="00096233"/>
    <w:rsid w:val="000B7C20"/>
    <w:rsid w:val="00121C63"/>
    <w:rsid w:val="0016511C"/>
    <w:rsid w:val="001951C2"/>
    <w:rsid w:val="00214025"/>
    <w:rsid w:val="00232FFB"/>
    <w:rsid w:val="00244926"/>
    <w:rsid w:val="0027662A"/>
    <w:rsid w:val="0029590C"/>
    <w:rsid w:val="002B22C8"/>
    <w:rsid w:val="0030304F"/>
    <w:rsid w:val="003270DB"/>
    <w:rsid w:val="00327F08"/>
    <w:rsid w:val="00343547"/>
    <w:rsid w:val="003B68EA"/>
    <w:rsid w:val="003E2B89"/>
    <w:rsid w:val="003F5212"/>
    <w:rsid w:val="00465B4C"/>
    <w:rsid w:val="004776AE"/>
    <w:rsid w:val="004A7554"/>
    <w:rsid w:val="004B195A"/>
    <w:rsid w:val="004B31ED"/>
    <w:rsid w:val="004E184A"/>
    <w:rsid w:val="005059E9"/>
    <w:rsid w:val="005635C4"/>
    <w:rsid w:val="00642540"/>
    <w:rsid w:val="0069026C"/>
    <w:rsid w:val="006E7865"/>
    <w:rsid w:val="006F0FB7"/>
    <w:rsid w:val="0072627A"/>
    <w:rsid w:val="007330F4"/>
    <w:rsid w:val="00736453"/>
    <w:rsid w:val="00787A04"/>
    <w:rsid w:val="007B7E92"/>
    <w:rsid w:val="007F021F"/>
    <w:rsid w:val="008046E8"/>
    <w:rsid w:val="008050EC"/>
    <w:rsid w:val="0086517A"/>
    <w:rsid w:val="008A02F0"/>
    <w:rsid w:val="008A65A7"/>
    <w:rsid w:val="008A694F"/>
    <w:rsid w:val="008C1C95"/>
    <w:rsid w:val="008D7493"/>
    <w:rsid w:val="00904D2A"/>
    <w:rsid w:val="00907635"/>
    <w:rsid w:val="00925E47"/>
    <w:rsid w:val="00927B68"/>
    <w:rsid w:val="00A02AD6"/>
    <w:rsid w:val="00A41C38"/>
    <w:rsid w:val="00AA5E53"/>
    <w:rsid w:val="00AE281B"/>
    <w:rsid w:val="00AF4C0D"/>
    <w:rsid w:val="00B353D6"/>
    <w:rsid w:val="00BB0266"/>
    <w:rsid w:val="00BB7F58"/>
    <w:rsid w:val="00BC6573"/>
    <w:rsid w:val="00C22473"/>
    <w:rsid w:val="00C46ACA"/>
    <w:rsid w:val="00CE0A97"/>
    <w:rsid w:val="00D6306E"/>
    <w:rsid w:val="00D72C04"/>
    <w:rsid w:val="00D81985"/>
    <w:rsid w:val="00D93026"/>
    <w:rsid w:val="00D9459C"/>
    <w:rsid w:val="00E06699"/>
    <w:rsid w:val="00E125D1"/>
    <w:rsid w:val="00F62FCB"/>
    <w:rsid w:val="00FB5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0C7D3"/>
  <w15:chartTrackingRefBased/>
  <w15:docId w15:val="{02F4F306-31DC-4D69-9656-0F9A4001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0DB"/>
    <w:pPr>
      <w:jc w:val="both"/>
    </w:pPr>
    <w:rPr>
      <w:rFonts w:ascii="Times New Roman" w:hAnsi="Times New Roman"/>
      <w:lang w:val="en-GB" w:eastAsia="en-US"/>
    </w:rPr>
  </w:style>
  <w:style w:type="paragraph" w:styleId="Balk1">
    <w:name w:val="heading 1"/>
    <w:basedOn w:val="Normal"/>
    <w:next w:val="Normal"/>
    <w:link w:val="Balk1Char"/>
    <w:uiPriority w:val="9"/>
    <w:qFormat/>
    <w:rsid w:val="003270DB"/>
    <w:pPr>
      <w:outlineLvl w:val="0"/>
    </w:pPr>
    <w:rPr>
      <w:b/>
      <w:sz w:val="24"/>
    </w:rPr>
  </w:style>
  <w:style w:type="paragraph" w:styleId="Balk2">
    <w:name w:val="heading 2"/>
    <w:basedOn w:val="Normal"/>
    <w:next w:val="Normal"/>
    <w:link w:val="Balk2Char"/>
    <w:uiPriority w:val="9"/>
    <w:unhideWhenUsed/>
    <w:qFormat/>
    <w:rsid w:val="003270DB"/>
    <w:pP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02F0"/>
    <w:pPr>
      <w:tabs>
        <w:tab w:val="center" w:pos="4536"/>
        <w:tab w:val="right" w:pos="9072"/>
      </w:tabs>
    </w:pPr>
  </w:style>
  <w:style w:type="character" w:customStyle="1" w:styleId="stBilgiChar">
    <w:name w:val="Üst Bilgi Char"/>
    <w:link w:val="stBilgi"/>
    <w:uiPriority w:val="99"/>
    <w:rsid w:val="008A02F0"/>
    <w:rPr>
      <w:sz w:val="22"/>
      <w:szCs w:val="22"/>
      <w:lang w:eastAsia="en-US"/>
    </w:rPr>
  </w:style>
  <w:style w:type="paragraph" w:styleId="AltBilgi">
    <w:name w:val="footer"/>
    <w:basedOn w:val="Normal"/>
    <w:link w:val="AltBilgiChar"/>
    <w:uiPriority w:val="99"/>
    <w:unhideWhenUsed/>
    <w:rsid w:val="008A02F0"/>
    <w:pPr>
      <w:tabs>
        <w:tab w:val="center" w:pos="4536"/>
        <w:tab w:val="right" w:pos="9072"/>
      </w:tabs>
    </w:pPr>
  </w:style>
  <w:style w:type="character" w:customStyle="1" w:styleId="AltBilgiChar">
    <w:name w:val="Alt Bilgi Char"/>
    <w:link w:val="AltBilgi"/>
    <w:uiPriority w:val="99"/>
    <w:rsid w:val="008A02F0"/>
    <w:rPr>
      <w:sz w:val="22"/>
      <w:szCs w:val="22"/>
      <w:lang w:eastAsia="en-US"/>
    </w:rPr>
  </w:style>
  <w:style w:type="character" w:styleId="Kpr">
    <w:name w:val="Hyperlink"/>
    <w:uiPriority w:val="99"/>
    <w:unhideWhenUsed/>
    <w:rsid w:val="005635C4"/>
    <w:rPr>
      <w:color w:val="0563C1"/>
      <w:u w:val="single"/>
    </w:rPr>
  </w:style>
  <w:style w:type="character" w:customStyle="1" w:styleId="Balk1Char">
    <w:name w:val="Başlık 1 Char"/>
    <w:link w:val="Balk1"/>
    <w:uiPriority w:val="9"/>
    <w:rsid w:val="003270DB"/>
    <w:rPr>
      <w:rFonts w:ascii="Times New Roman" w:hAnsi="Times New Roman"/>
      <w:b/>
      <w:sz w:val="24"/>
      <w:lang w:eastAsia="en-US"/>
    </w:rPr>
  </w:style>
  <w:style w:type="character" w:customStyle="1" w:styleId="MTEquationSection">
    <w:name w:val="MTEquationSection"/>
    <w:rsid w:val="004E184A"/>
    <w:rPr>
      <w:rFonts w:ascii="Times New Roman" w:hAnsi="Times New Roman"/>
      <w:b/>
      <w:vanish/>
      <w:color w:val="FF0000"/>
      <w:sz w:val="28"/>
      <w:szCs w:val="28"/>
    </w:rPr>
  </w:style>
  <w:style w:type="paragraph" w:customStyle="1" w:styleId="MTDisplayEquation">
    <w:name w:val="MTDisplayEquation"/>
    <w:basedOn w:val="Normal"/>
    <w:next w:val="Normal"/>
    <w:link w:val="MTDisplayEquationChar"/>
    <w:rsid w:val="004E184A"/>
    <w:pPr>
      <w:tabs>
        <w:tab w:val="center" w:pos="4540"/>
        <w:tab w:val="right" w:pos="9080"/>
      </w:tabs>
    </w:pPr>
  </w:style>
  <w:style w:type="character" w:customStyle="1" w:styleId="MTDisplayEquationChar">
    <w:name w:val="MTDisplayEquation Char"/>
    <w:link w:val="MTDisplayEquation"/>
    <w:rsid w:val="004E184A"/>
    <w:rPr>
      <w:rFonts w:ascii="Times New Roman" w:hAnsi="Times New Roman"/>
      <w:lang w:eastAsia="en-US"/>
    </w:rPr>
  </w:style>
  <w:style w:type="paragraph" w:styleId="ResimYazs">
    <w:name w:val="caption"/>
    <w:aliases w:val="Şekil Yazısı"/>
    <w:basedOn w:val="Normal"/>
    <w:next w:val="Normal"/>
    <w:link w:val="ResimYazsChar"/>
    <w:uiPriority w:val="35"/>
    <w:unhideWhenUsed/>
    <w:qFormat/>
    <w:rsid w:val="003270DB"/>
    <w:pPr>
      <w:spacing w:before="60"/>
      <w:jc w:val="center"/>
    </w:pPr>
    <w:rPr>
      <w:iCs/>
      <w:color w:val="000000"/>
    </w:rPr>
  </w:style>
  <w:style w:type="table" w:styleId="TabloKlavuzu">
    <w:name w:val="Table Grid"/>
    <w:basedOn w:val="NormalTablo"/>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CE0A97"/>
  </w:style>
  <w:style w:type="character" w:customStyle="1" w:styleId="Balk2Char">
    <w:name w:val="Başlık 2 Char"/>
    <w:link w:val="Balk2"/>
    <w:uiPriority w:val="9"/>
    <w:rsid w:val="003270DB"/>
    <w:rPr>
      <w:rFonts w:ascii="Times New Roman" w:hAnsi="Times New Roman"/>
      <w:b/>
      <w:lang w:eastAsia="en-US"/>
    </w:rPr>
  </w:style>
  <w:style w:type="paragraph" w:customStyle="1" w:styleId="TabloYazs">
    <w:name w:val="Tablo Yazısı"/>
    <w:basedOn w:val="ResimYazs"/>
    <w:link w:val="TabloYazsChar"/>
    <w:qFormat/>
    <w:rsid w:val="003270DB"/>
    <w:pPr>
      <w:spacing w:before="0" w:after="60"/>
    </w:pPr>
  </w:style>
  <w:style w:type="paragraph" w:styleId="ListeParagraf">
    <w:name w:val="List Paragraph"/>
    <w:basedOn w:val="Normal"/>
    <w:uiPriority w:val="34"/>
    <w:qFormat/>
    <w:rsid w:val="0029590C"/>
    <w:pPr>
      <w:ind w:left="720"/>
      <w:contextualSpacing/>
    </w:pPr>
    <w:rPr>
      <w:szCs w:val="22"/>
      <w:lang w:val="tr-TR"/>
    </w:rPr>
  </w:style>
  <w:style w:type="character" w:customStyle="1" w:styleId="ResimYazsChar">
    <w:name w:val="Resim Yazısı Char"/>
    <w:aliases w:val="Şekil Yazısı Char"/>
    <w:link w:val="ResimYazs"/>
    <w:uiPriority w:val="35"/>
    <w:rsid w:val="003270DB"/>
    <w:rPr>
      <w:rFonts w:ascii="Times New Roman" w:hAnsi="Times New Roman"/>
      <w:iCs/>
      <w:color w:val="000000"/>
      <w:lang w:val="en-GB" w:eastAsia="en-US"/>
    </w:rPr>
  </w:style>
  <w:style w:type="character" w:customStyle="1" w:styleId="TabloYazsChar">
    <w:name w:val="Tablo Yazısı Char"/>
    <w:basedOn w:val="ResimYazsChar"/>
    <w:link w:val="TabloYazs"/>
    <w:rsid w:val="003270DB"/>
    <w:rPr>
      <w:rFonts w:ascii="Times New Roman" w:hAnsi="Times New Roman"/>
      <w:i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1094</Words>
  <Characters>6241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13</cp:revision>
  <dcterms:created xsi:type="dcterms:W3CDTF">2024-08-24T23:10:00Z</dcterms:created>
  <dcterms:modified xsi:type="dcterms:W3CDTF">2024-12-08T12:37:00Z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